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DE" w:rsidRPr="001144A2" w:rsidRDefault="00E75FE1" w:rsidP="00AB161B">
      <w:pPr>
        <w:ind w:firstLine="1134"/>
        <w:jc w:val="center"/>
        <w:rPr>
          <w:b/>
        </w:rPr>
      </w:pPr>
      <w:bookmarkStart w:id="0" w:name="_GoBack"/>
      <w:r w:rsidRPr="001144A2">
        <w:rPr>
          <w:b/>
        </w:rPr>
        <w:t>Меры поддержки бизнеса АО «Корпорация «МСП»</w:t>
      </w:r>
    </w:p>
    <w:tbl>
      <w:tblPr>
        <w:tblStyle w:val="ab"/>
        <w:tblW w:w="14864" w:type="dxa"/>
        <w:jc w:val="center"/>
        <w:tblLook w:val="04A0" w:firstRow="1" w:lastRow="0" w:firstColumn="1" w:lastColumn="0" w:noHBand="0" w:noVBand="1"/>
      </w:tblPr>
      <w:tblGrid>
        <w:gridCol w:w="3104"/>
        <w:gridCol w:w="4768"/>
        <w:gridCol w:w="3486"/>
        <w:gridCol w:w="3506"/>
      </w:tblGrid>
      <w:tr w:rsidR="000A1A54" w:rsidRPr="001144A2" w:rsidTr="001144A2">
        <w:trPr>
          <w:jc w:val="center"/>
        </w:trPr>
        <w:tc>
          <w:tcPr>
            <w:tcW w:w="3104" w:type="dxa"/>
          </w:tcPr>
          <w:bookmarkEnd w:id="0"/>
          <w:p w:rsidR="00AB161B" w:rsidRPr="001144A2" w:rsidRDefault="00AB161B" w:rsidP="0006123B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Меры поддержки</w:t>
            </w:r>
          </w:p>
        </w:tc>
        <w:tc>
          <w:tcPr>
            <w:tcW w:w="4768" w:type="dxa"/>
          </w:tcPr>
          <w:p w:rsidR="00AB161B" w:rsidRPr="001144A2" w:rsidRDefault="00AB161B" w:rsidP="0006123B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Условия</w:t>
            </w:r>
          </w:p>
        </w:tc>
        <w:tc>
          <w:tcPr>
            <w:tcW w:w="3486" w:type="dxa"/>
          </w:tcPr>
          <w:p w:rsidR="00AB161B" w:rsidRPr="001144A2" w:rsidRDefault="00AB161B" w:rsidP="0006123B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Участники</w:t>
            </w:r>
          </w:p>
        </w:tc>
        <w:tc>
          <w:tcPr>
            <w:tcW w:w="3506" w:type="dxa"/>
          </w:tcPr>
          <w:p w:rsidR="00AB161B" w:rsidRPr="001144A2" w:rsidRDefault="00AB161B" w:rsidP="0006123B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Результат</w:t>
            </w: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1A3B56" w:rsidRPr="001144A2" w:rsidRDefault="001A3B56" w:rsidP="001A3B56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Зонтичный механизм поручительств</w:t>
            </w:r>
          </w:p>
        </w:tc>
        <w:tc>
          <w:tcPr>
            <w:tcW w:w="4768" w:type="dxa"/>
          </w:tcPr>
          <w:p w:rsidR="001A3B56" w:rsidRPr="001144A2" w:rsidRDefault="001A3B56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 xml:space="preserve">АО «Корпорация «МСП» берет на себя основные риски перед банком. </w:t>
            </w:r>
          </w:p>
          <w:p w:rsidR="001A3B56" w:rsidRPr="001144A2" w:rsidRDefault="001A3B56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Размер поручительства: до 1 млрд рублей</w:t>
            </w:r>
          </w:p>
          <w:p w:rsidR="001A3B56" w:rsidRPr="001144A2" w:rsidRDefault="001A3B56" w:rsidP="001A3B56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поручительство покрывает 50% от суммы кредита.</w:t>
            </w:r>
          </w:p>
        </w:tc>
        <w:tc>
          <w:tcPr>
            <w:tcW w:w="3486" w:type="dxa"/>
          </w:tcPr>
          <w:p w:rsidR="001A3B56" w:rsidRPr="001144A2" w:rsidRDefault="001A3B56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Банковские структуры</w:t>
            </w:r>
          </w:p>
        </w:tc>
        <w:tc>
          <w:tcPr>
            <w:tcW w:w="3506" w:type="dxa"/>
          </w:tcPr>
          <w:p w:rsidR="001A3B56" w:rsidRPr="001144A2" w:rsidRDefault="001A3B56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 xml:space="preserve">Гарантийная поддержка АО «Корпорация «МСП»  </w:t>
            </w:r>
          </w:p>
          <w:p w:rsidR="001A3B56" w:rsidRPr="001144A2" w:rsidRDefault="001A3B56" w:rsidP="001A3B56">
            <w:pPr>
              <w:jc w:val="both"/>
              <w:rPr>
                <w:sz w:val="24"/>
                <w:szCs w:val="24"/>
              </w:rPr>
            </w:pP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1A3B56" w:rsidRPr="001144A2" w:rsidRDefault="001A3B56" w:rsidP="001A3B56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Программа льготного лизинга для субъектов МСП</w:t>
            </w:r>
          </w:p>
        </w:tc>
        <w:tc>
          <w:tcPr>
            <w:tcW w:w="4768" w:type="dxa"/>
          </w:tcPr>
          <w:p w:rsidR="001A3B56" w:rsidRPr="001144A2" w:rsidRDefault="001A3B56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Зарегистрирована лизинговая компания АО «МСП Лизинг». Льготная ставка в размере не более 8% годовых.</w:t>
            </w:r>
          </w:p>
        </w:tc>
        <w:tc>
          <w:tcPr>
            <w:tcW w:w="3486" w:type="dxa"/>
          </w:tcPr>
          <w:p w:rsidR="001A3B56" w:rsidRPr="001144A2" w:rsidRDefault="0009458B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Программа льготного лизинга оборудования реализуется Корпорацией МСП через дочернюю компанию «МСП Лизинг» в рамках Нацпроекта по поддержке малого и среднего предпринимательства.</w:t>
            </w:r>
          </w:p>
        </w:tc>
        <w:tc>
          <w:tcPr>
            <w:tcW w:w="3506" w:type="dxa"/>
          </w:tcPr>
          <w:p w:rsidR="001A3B56" w:rsidRPr="001144A2" w:rsidRDefault="0009458B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Программа доступна на цифровой платформе МСП для предпринимателей из любой точки страны</w:t>
            </w:r>
          </w:p>
        </w:tc>
      </w:tr>
      <w:tr w:rsidR="00E918DB" w:rsidRPr="001144A2" w:rsidTr="001144A2">
        <w:trPr>
          <w:jc w:val="center"/>
        </w:trPr>
        <w:tc>
          <w:tcPr>
            <w:tcW w:w="3104" w:type="dxa"/>
          </w:tcPr>
          <w:p w:rsidR="00E918DB" w:rsidRPr="001144A2" w:rsidRDefault="00E918DB" w:rsidP="001A3B56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Рынки сбыта</w:t>
            </w:r>
          </w:p>
        </w:tc>
        <w:tc>
          <w:tcPr>
            <w:tcW w:w="4768" w:type="dxa"/>
          </w:tcPr>
          <w:p w:rsidR="00E918DB" w:rsidRPr="001144A2" w:rsidRDefault="00E918DB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Участие в закупках по 223-Ф3</w:t>
            </w:r>
            <w:r w:rsidR="007B5BDB" w:rsidRPr="001144A2">
              <w:rPr>
                <w:rFonts w:ascii="Times New Roman" w:hAnsi="Times New Roman" w:cs="Times New Roman"/>
              </w:rPr>
              <w:t xml:space="preserve"> - Корпорация МСП совместно с регионами следит за соблюдением обязательной 25% квоты на закупки у малых и средних предприятий.</w:t>
            </w:r>
          </w:p>
        </w:tc>
        <w:tc>
          <w:tcPr>
            <w:tcW w:w="3486" w:type="dxa"/>
          </w:tcPr>
          <w:p w:rsidR="00E918DB" w:rsidRPr="001144A2" w:rsidRDefault="007B5BDB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Обучающие семинары АО «Корпорация «МСП»</w:t>
            </w:r>
          </w:p>
        </w:tc>
        <w:tc>
          <w:tcPr>
            <w:tcW w:w="3506" w:type="dxa"/>
          </w:tcPr>
          <w:p w:rsidR="00E918DB" w:rsidRPr="001144A2" w:rsidRDefault="00EE306D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Закупки у компаний с госучастием</w:t>
            </w: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1A3B56" w:rsidRPr="001144A2" w:rsidRDefault="001A3B56" w:rsidP="001A3B56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Программы льготного кредитования малого и среднего бизнеса, стимулирование кредитования субъектов МСП</w:t>
            </w:r>
          </w:p>
        </w:tc>
        <w:tc>
          <w:tcPr>
            <w:tcW w:w="4768" w:type="dxa"/>
          </w:tcPr>
          <w:p w:rsidR="001A3B56" w:rsidRPr="001144A2" w:rsidRDefault="001A3B56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Ставка:</w:t>
            </w:r>
            <w:r w:rsidR="00954845" w:rsidRPr="001144A2">
              <w:rPr>
                <w:rFonts w:ascii="Times New Roman" w:hAnsi="Times New Roman" w:cs="Times New Roman"/>
              </w:rPr>
              <w:t>19,5</w:t>
            </w:r>
            <w:r w:rsidRPr="001144A2">
              <w:rPr>
                <w:rFonts w:ascii="Times New Roman" w:hAnsi="Times New Roman" w:cs="Times New Roman"/>
              </w:rPr>
              <w:t xml:space="preserve">% - для микро бизнеса, </w:t>
            </w:r>
            <w:r w:rsidR="00954845" w:rsidRPr="001144A2">
              <w:rPr>
                <w:rFonts w:ascii="Times New Roman" w:hAnsi="Times New Roman" w:cs="Times New Roman"/>
              </w:rPr>
              <w:t>19</w:t>
            </w:r>
            <w:r w:rsidRPr="001144A2">
              <w:rPr>
                <w:rFonts w:ascii="Times New Roman" w:hAnsi="Times New Roman" w:cs="Times New Roman"/>
              </w:rPr>
              <w:t xml:space="preserve">% - для малого и </w:t>
            </w:r>
            <w:r w:rsidR="00954845" w:rsidRPr="001144A2">
              <w:rPr>
                <w:rFonts w:ascii="Times New Roman" w:hAnsi="Times New Roman" w:cs="Times New Roman"/>
              </w:rPr>
              <w:t>18</w:t>
            </w:r>
            <w:r w:rsidRPr="001144A2">
              <w:rPr>
                <w:rFonts w:ascii="Times New Roman" w:hAnsi="Times New Roman" w:cs="Times New Roman"/>
              </w:rPr>
              <w:t xml:space="preserve"> % для среднего бизнеса;</w:t>
            </w:r>
          </w:p>
          <w:p w:rsidR="001A3B56" w:rsidRPr="001144A2" w:rsidRDefault="001A3B56" w:rsidP="001A3B56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Сумма: до 2 млрд рублей;</w:t>
            </w:r>
          </w:p>
          <w:p w:rsidR="001A3B56" w:rsidRPr="001144A2" w:rsidRDefault="001A3B56" w:rsidP="001A3B56">
            <w:pPr>
              <w:pStyle w:val="Default"/>
              <w:ind w:right="-66" w:firstLine="23"/>
            </w:pPr>
            <w:r w:rsidRPr="001144A2">
              <w:rPr>
                <w:rFonts w:ascii="Times New Roman" w:hAnsi="Times New Roman" w:cs="Times New Roman"/>
              </w:rPr>
              <w:t>Срок: до 3 лет.</w:t>
            </w:r>
          </w:p>
        </w:tc>
        <w:tc>
          <w:tcPr>
            <w:tcW w:w="3486" w:type="dxa"/>
          </w:tcPr>
          <w:p w:rsidR="00367209" w:rsidRPr="001144A2" w:rsidRDefault="00367209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 xml:space="preserve">Банковские структуры, </w:t>
            </w:r>
          </w:p>
          <w:p w:rsidR="001A3B56" w:rsidRPr="001144A2" w:rsidRDefault="00954845" w:rsidP="00121A1F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 xml:space="preserve">Субъекты </w:t>
            </w:r>
            <w:r w:rsidR="00121A1F" w:rsidRPr="001144A2">
              <w:rPr>
                <w:sz w:val="24"/>
                <w:szCs w:val="24"/>
              </w:rPr>
              <w:t>МСП</w:t>
            </w:r>
          </w:p>
        </w:tc>
        <w:tc>
          <w:tcPr>
            <w:tcW w:w="3506" w:type="dxa"/>
          </w:tcPr>
          <w:p w:rsidR="000A1A54" w:rsidRPr="001144A2" w:rsidRDefault="000A1A54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Программа доступна на цифровой платформе МСП для предпринимателей из любой точки страны.</w:t>
            </w:r>
          </w:p>
          <w:p w:rsidR="001A3B56" w:rsidRPr="001144A2" w:rsidRDefault="000A1A54" w:rsidP="001A3B56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 xml:space="preserve"> </w:t>
            </w:r>
            <w:r w:rsidR="001A3B56" w:rsidRPr="001144A2">
              <w:rPr>
                <w:sz w:val="24"/>
                <w:szCs w:val="24"/>
              </w:rPr>
              <w:t>Размещена в соц.сетях, интернет ресурсах</w:t>
            </w: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0A1A54" w:rsidRPr="001144A2" w:rsidRDefault="000A1A54" w:rsidP="000A1A54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Программа стимулирования кредитования субъектов МСП (ПСК) + Программа «1764»</w:t>
            </w:r>
          </w:p>
        </w:tc>
        <w:tc>
          <w:tcPr>
            <w:tcW w:w="4768" w:type="dxa"/>
          </w:tcPr>
          <w:p w:rsidR="000A1A54" w:rsidRPr="001144A2" w:rsidRDefault="000A1A54" w:rsidP="000A1A54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Совмещение программы Минэкономразвития «1764» и льготного фондирования «ПСК» Банка России и Корпорации МСП.</w:t>
            </w:r>
          </w:p>
          <w:p w:rsidR="000A1A54" w:rsidRPr="001144A2" w:rsidRDefault="000A1A54" w:rsidP="000A1A54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Программа льготных кредитов в наиболее приоритетных отраслях (перечень ОКВЭД на сайте)</w:t>
            </w:r>
          </w:p>
          <w:p w:rsidR="000A1A54" w:rsidRPr="001144A2" w:rsidRDefault="000A1A54" w:rsidP="00367209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Ставка: до </w:t>
            </w:r>
            <w:r w:rsidR="00367209" w:rsidRPr="001144A2">
              <w:rPr>
                <w:rFonts w:ascii="Times New Roman" w:hAnsi="Times New Roman" w:cs="Times New Roman"/>
              </w:rPr>
              <w:t>9</w:t>
            </w:r>
            <w:r w:rsidRPr="001144A2">
              <w:rPr>
                <w:rFonts w:ascii="Times New Roman" w:hAnsi="Times New Roman" w:cs="Times New Roman"/>
              </w:rPr>
              <w:t>% - для малого и микробизнеса, до </w:t>
            </w:r>
            <w:r w:rsidR="00367209" w:rsidRPr="001144A2">
              <w:rPr>
                <w:rFonts w:ascii="Times New Roman" w:hAnsi="Times New Roman" w:cs="Times New Roman"/>
              </w:rPr>
              <w:t>7</w:t>
            </w:r>
            <w:r w:rsidRPr="001144A2">
              <w:rPr>
                <w:rFonts w:ascii="Times New Roman" w:hAnsi="Times New Roman" w:cs="Times New Roman"/>
              </w:rPr>
              <w:t>,5% - для среднего бизнеса</w:t>
            </w:r>
            <w:r w:rsidR="005A1244" w:rsidRPr="001144A2">
              <w:rPr>
                <w:rFonts w:ascii="Times New Roman" w:hAnsi="Times New Roman" w:cs="Times New Roman"/>
              </w:rPr>
              <w:t>, сумма от 50</w:t>
            </w:r>
            <w:r w:rsidR="00D03592" w:rsidRPr="001144A2">
              <w:rPr>
                <w:rFonts w:ascii="Times New Roman" w:hAnsi="Times New Roman" w:cs="Times New Roman"/>
              </w:rPr>
              <w:t xml:space="preserve"> </w:t>
            </w:r>
            <w:r w:rsidR="005A1244" w:rsidRPr="001144A2">
              <w:rPr>
                <w:rFonts w:ascii="Times New Roman" w:hAnsi="Times New Roman" w:cs="Times New Roman"/>
              </w:rPr>
              <w:t>млн рублей до 2 млрд рублей</w:t>
            </w:r>
            <w:r w:rsidR="00D03592" w:rsidRPr="001144A2">
              <w:rPr>
                <w:rFonts w:ascii="Times New Roman" w:hAnsi="Times New Roman" w:cs="Times New Roman"/>
              </w:rPr>
              <w:t>, до 10 лет</w:t>
            </w:r>
          </w:p>
        </w:tc>
        <w:tc>
          <w:tcPr>
            <w:tcW w:w="3486" w:type="dxa"/>
          </w:tcPr>
          <w:p w:rsidR="000A1A54" w:rsidRPr="001144A2" w:rsidRDefault="000A1A54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Субсидии АО «Корпорация «МСП» Банкам через Минэкономразвития РФ</w:t>
            </w:r>
          </w:p>
        </w:tc>
        <w:tc>
          <w:tcPr>
            <w:tcW w:w="3506" w:type="dxa"/>
          </w:tcPr>
          <w:p w:rsidR="000A1A54" w:rsidRPr="001144A2" w:rsidRDefault="000A1A54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Программа доступна на цифровой платформе МСП для предпринимателей из любой точки страны.</w:t>
            </w:r>
          </w:p>
          <w:p w:rsidR="000A1A54" w:rsidRPr="001144A2" w:rsidRDefault="000A1A54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 xml:space="preserve"> Размещена в соц.сетях, интернет ресурсах</w:t>
            </w: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0A1A54" w:rsidRPr="001144A2" w:rsidRDefault="00501512" w:rsidP="000A1A54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lastRenderedPageBreak/>
              <w:t>Образовательные проекты</w:t>
            </w:r>
            <w:r w:rsidR="005F7E12" w:rsidRPr="001144A2">
              <w:rPr>
                <w:sz w:val="24"/>
                <w:szCs w:val="24"/>
              </w:rPr>
              <w:t xml:space="preserve"> Корпорации МСП</w:t>
            </w:r>
          </w:p>
        </w:tc>
        <w:tc>
          <w:tcPr>
            <w:tcW w:w="4768" w:type="dxa"/>
          </w:tcPr>
          <w:p w:rsidR="000A1A54" w:rsidRPr="001144A2" w:rsidRDefault="005F7E12" w:rsidP="000A1A54">
            <w:pPr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Тематические программы и тренинги для потенциальных и действующих предпринимателей, самозанятых граждан и лиц на этапе идеи</w:t>
            </w:r>
          </w:p>
        </w:tc>
        <w:tc>
          <w:tcPr>
            <w:tcW w:w="3486" w:type="dxa"/>
          </w:tcPr>
          <w:p w:rsidR="000A1A54" w:rsidRPr="001144A2" w:rsidRDefault="0035767E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АО «Корпорация «МСП»</w:t>
            </w:r>
            <w:r w:rsidR="0006531D" w:rsidRPr="001144A2">
              <w:rPr>
                <w:sz w:val="24"/>
                <w:szCs w:val="24"/>
              </w:rPr>
              <w:t>, субъекты МСП</w:t>
            </w:r>
          </w:p>
        </w:tc>
        <w:tc>
          <w:tcPr>
            <w:tcW w:w="3506" w:type="dxa"/>
          </w:tcPr>
          <w:p w:rsidR="000A1A54" w:rsidRPr="001144A2" w:rsidRDefault="0006531D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Бесплатные тренинги по обучающим программам</w:t>
            </w: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0A1A54" w:rsidRPr="001144A2" w:rsidRDefault="000A1A54" w:rsidP="000A1A54">
            <w:pPr>
              <w:tabs>
                <w:tab w:val="left" w:pos="2115"/>
              </w:tabs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Цифровая платформа МСП</w:t>
            </w:r>
          </w:p>
        </w:tc>
        <w:tc>
          <w:tcPr>
            <w:tcW w:w="4768" w:type="dxa"/>
          </w:tcPr>
          <w:p w:rsidR="000A1A54" w:rsidRPr="001144A2" w:rsidRDefault="000A1A54" w:rsidP="000A1A54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Экосистема всех необходимых бизнесу сервисов и услуг.</w:t>
            </w:r>
          </w:p>
        </w:tc>
        <w:tc>
          <w:tcPr>
            <w:tcW w:w="3486" w:type="dxa"/>
          </w:tcPr>
          <w:p w:rsidR="000A1A54" w:rsidRPr="001144A2" w:rsidRDefault="000A1A54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Все подведомственные организации</w:t>
            </w:r>
          </w:p>
        </w:tc>
        <w:tc>
          <w:tcPr>
            <w:tcW w:w="3506" w:type="dxa"/>
          </w:tcPr>
          <w:p w:rsidR="000A1A54" w:rsidRPr="001144A2" w:rsidRDefault="000A1A54" w:rsidP="000A1A54">
            <w:pPr>
              <w:jc w:val="both"/>
              <w:rPr>
                <w:sz w:val="24"/>
                <w:szCs w:val="24"/>
              </w:rPr>
            </w:pPr>
          </w:p>
        </w:tc>
      </w:tr>
      <w:tr w:rsidR="000A1A54" w:rsidRPr="001144A2" w:rsidTr="001144A2">
        <w:trPr>
          <w:jc w:val="center"/>
        </w:trPr>
        <w:tc>
          <w:tcPr>
            <w:tcW w:w="3104" w:type="dxa"/>
          </w:tcPr>
          <w:p w:rsidR="000A1A54" w:rsidRPr="001144A2" w:rsidRDefault="000A1A54" w:rsidP="000A1A54">
            <w:pPr>
              <w:tabs>
                <w:tab w:val="left" w:pos="2115"/>
              </w:tabs>
              <w:ind w:right="-66" w:firstLine="23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Сервис 360°</w:t>
            </w:r>
          </w:p>
        </w:tc>
        <w:tc>
          <w:tcPr>
            <w:tcW w:w="4768" w:type="dxa"/>
          </w:tcPr>
          <w:p w:rsidR="000A1A54" w:rsidRPr="001144A2" w:rsidRDefault="000A1A54" w:rsidP="000A1A54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  <w:r w:rsidRPr="001144A2">
              <w:rPr>
                <w:rFonts w:ascii="Times New Roman" w:hAnsi="Times New Roman" w:cs="Times New Roman"/>
              </w:rPr>
              <w:t>Это способ сообщить о нарушении своих прав при проверках и получении поддержки.</w:t>
            </w:r>
          </w:p>
          <w:p w:rsidR="000A1A54" w:rsidRPr="001144A2" w:rsidRDefault="000A1A54" w:rsidP="000A1A54">
            <w:pPr>
              <w:pStyle w:val="Default"/>
              <w:ind w:right="-66" w:firstLine="23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0A1A54" w:rsidRPr="001144A2" w:rsidRDefault="000848CB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Субъекты МСП,</w:t>
            </w:r>
          </w:p>
        </w:tc>
        <w:tc>
          <w:tcPr>
            <w:tcW w:w="3506" w:type="dxa"/>
          </w:tcPr>
          <w:p w:rsidR="000A1A54" w:rsidRPr="001144A2" w:rsidRDefault="000848CB" w:rsidP="000A1A54">
            <w:pPr>
              <w:jc w:val="both"/>
              <w:rPr>
                <w:sz w:val="24"/>
                <w:szCs w:val="24"/>
              </w:rPr>
            </w:pPr>
            <w:r w:rsidRPr="001144A2">
              <w:rPr>
                <w:sz w:val="24"/>
                <w:szCs w:val="24"/>
              </w:rPr>
              <w:t>Позволяет направить обращение о работе института развития по содействию развития предпринимательства, оказанию поддержки (Корпорация МСП, Российский экспортный центр, Фонд «Сколково», РОСНАНО, Фонд развития промышленности и др.) и/или если не получили необходимую поддержку при обращении в институт развития.</w:t>
            </w:r>
          </w:p>
        </w:tc>
      </w:tr>
    </w:tbl>
    <w:p w:rsidR="00453774" w:rsidRPr="0006123B" w:rsidRDefault="00453774" w:rsidP="0006123B">
      <w:pPr>
        <w:ind w:firstLine="1134"/>
        <w:jc w:val="both"/>
      </w:pPr>
    </w:p>
    <w:sectPr w:rsidR="00453774" w:rsidRPr="0006123B" w:rsidSect="001144A2">
      <w:pgSz w:w="16838" w:h="11905" w:orient="landscape"/>
      <w:pgMar w:top="1276" w:right="709" w:bottom="851" w:left="567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2E" w:rsidRDefault="00D8282E" w:rsidP="00090F1D">
      <w:pPr>
        <w:spacing w:after="0" w:line="240" w:lineRule="auto"/>
      </w:pPr>
      <w:r>
        <w:separator/>
      </w:r>
    </w:p>
  </w:endnote>
  <w:endnote w:type="continuationSeparator" w:id="0">
    <w:p w:rsidR="00D8282E" w:rsidRDefault="00D8282E" w:rsidP="0009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2E" w:rsidRDefault="00D8282E" w:rsidP="00090F1D">
      <w:pPr>
        <w:spacing w:after="0" w:line="240" w:lineRule="auto"/>
      </w:pPr>
      <w:r>
        <w:separator/>
      </w:r>
    </w:p>
  </w:footnote>
  <w:footnote w:type="continuationSeparator" w:id="0">
    <w:p w:rsidR="00D8282E" w:rsidRDefault="00D8282E" w:rsidP="0009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4A0C"/>
    <w:multiLevelType w:val="hybridMultilevel"/>
    <w:tmpl w:val="51269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9"/>
    <w:rsid w:val="0006123B"/>
    <w:rsid w:val="0006531D"/>
    <w:rsid w:val="000848CB"/>
    <w:rsid w:val="00090F1D"/>
    <w:rsid w:val="0009458B"/>
    <w:rsid w:val="000A1A54"/>
    <w:rsid w:val="000C3C7C"/>
    <w:rsid w:val="000D354D"/>
    <w:rsid w:val="001144A2"/>
    <w:rsid w:val="00121A1F"/>
    <w:rsid w:val="0019255D"/>
    <w:rsid w:val="00194F64"/>
    <w:rsid w:val="001A3B56"/>
    <w:rsid w:val="001E0547"/>
    <w:rsid w:val="003172A2"/>
    <w:rsid w:val="003415EE"/>
    <w:rsid w:val="0035767E"/>
    <w:rsid w:val="00367209"/>
    <w:rsid w:val="003F2658"/>
    <w:rsid w:val="00453774"/>
    <w:rsid w:val="00497BA1"/>
    <w:rsid w:val="00501512"/>
    <w:rsid w:val="00507236"/>
    <w:rsid w:val="00510DCF"/>
    <w:rsid w:val="00545175"/>
    <w:rsid w:val="005A1244"/>
    <w:rsid w:val="005D436B"/>
    <w:rsid w:val="005F7E12"/>
    <w:rsid w:val="0061026F"/>
    <w:rsid w:val="0061036B"/>
    <w:rsid w:val="006B19D9"/>
    <w:rsid w:val="007253FF"/>
    <w:rsid w:val="007353DE"/>
    <w:rsid w:val="00741639"/>
    <w:rsid w:val="007B5BDB"/>
    <w:rsid w:val="007C3AAA"/>
    <w:rsid w:val="00813AAD"/>
    <w:rsid w:val="00835479"/>
    <w:rsid w:val="0085704E"/>
    <w:rsid w:val="00924D43"/>
    <w:rsid w:val="009525D8"/>
    <w:rsid w:val="00954845"/>
    <w:rsid w:val="00960024"/>
    <w:rsid w:val="009700FF"/>
    <w:rsid w:val="00A06E02"/>
    <w:rsid w:val="00A647ED"/>
    <w:rsid w:val="00A76FB8"/>
    <w:rsid w:val="00AB161B"/>
    <w:rsid w:val="00AD2A2D"/>
    <w:rsid w:val="00B133A4"/>
    <w:rsid w:val="00B219DF"/>
    <w:rsid w:val="00B45220"/>
    <w:rsid w:val="00C639C5"/>
    <w:rsid w:val="00C80383"/>
    <w:rsid w:val="00CE7D05"/>
    <w:rsid w:val="00D03592"/>
    <w:rsid w:val="00D176D0"/>
    <w:rsid w:val="00D415D8"/>
    <w:rsid w:val="00D53A4A"/>
    <w:rsid w:val="00D614D7"/>
    <w:rsid w:val="00D71B09"/>
    <w:rsid w:val="00D8282E"/>
    <w:rsid w:val="00DA2542"/>
    <w:rsid w:val="00DB0F2B"/>
    <w:rsid w:val="00DC0722"/>
    <w:rsid w:val="00E75FE1"/>
    <w:rsid w:val="00E918DB"/>
    <w:rsid w:val="00EE306D"/>
    <w:rsid w:val="00F147A1"/>
    <w:rsid w:val="00FD1820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690D"/>
  <w15:docId w15:val="{FB5EEA76-7013-40EB-881D-B132D029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570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0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qFormat/>
    <w:rsid w:val="00D53A4A"/>
    <w:rPr>
      <w:color w:val="0000FF"/>
      <w:u w:val="single"/>
    </w:rPr>
  </w:style>
  <w:style w:type="paragraph" w:customStyle="1" w:styleId="ConsPlusNormal0">
    <w:name w:val="ConsPlusNormal"/>
    <w:rsid w:val="000D35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35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6">
    <w:name w:val="List Paragraph"/>
    <w:basedOn w:val="a"/>
    <w:uiPriority w:val="34"/>
    <w:qFormat/>
    <w:rsid w:val="00DA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F1D"/>
  </w:style>
  <w:style w:type="paragraph" w:styleId="a9">
    <w:name w:val="footer"/>
    <w:basedOn w:val="a"/>
    <w:link w:val="aa"/>
    <w:uiPriority w:val="99"/>
    <w:unhideWhenUsed/>
    <w:rsid w:val="00090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F1D"/>
  </w:style>
  <w:style w:type="table" w:styleId="ab">
    <w:name w:val="Table Grid"/>
    <w:basedOn w:val="a1"/>
    <w:uiPriority w:val="59"/>
    <w:rsid w:val="0045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774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qFormat/>
    <w:rsid w:val="00453774"/>
    <w:pPr>
      <w:shd w:val="clear" w:color="auto" w:fill="FFFFFF"/>
      <w:suppressAutoHyphens/>
      <w:spacing w:before="100" w:after="100" w:line="240" w:lineRule="auto"/>
    </w:pPr>
    <w:rPr>
      <w:rFonts w:eastAsia="Calibri"/>
      <w:sz w:val="24"/>
      <w:szCs w:val="24"/>
      <w:lang w:eastAsia="ru-RU"/>
    </w:rPr>
  </w:style>
  <w:style w:type="character" w:customStyle="1" w:styleId="WWCharLFO1LVL4">
    <w:name w:val="WW_CharLFO1LVL4"/>
    <w:qFormat/>
    <w:rsid w:val="00453774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ТПИ</cp:lastModifiedBy>
  <cp:revision>2</cp:revision>
  <cp:lastPrinted>2023-04-13T07:34:00Z</cp:lastPrinted>
  <dcterms:created xsi:type="dcterms:W3CDTF">2023-11-28T11:11:00Z</dcterms:created>
  <dcterms:modified xsi:type="dcterms:W3CDTF">2023-11-28T11:11:00Z</dcterms:modified>
</cp:coreProperties>
</file>